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D1A5" w14:textId="25D53511" w:rsidR="00047B65" w:rsidRPr="00047B65" w:rsidRDefault="001B658E" w:rsidP="00047B65">
      <w:pPr>
        <w:pStyle w:val="Heading1"/>
        <w:jc w:val="center"/>
        <w:rPr>
          <w:rFonts w:cstheme="majorHAnsi"/>
          <w:b/>
          <w:color w:val="000000" w:themeColor="text1"/>
          <w:sz w:val="36"/>
          <w:szCs w:val="36"/>
        </w:rPr>
      </w:pPr>
      <w:r w:rsidRPr="00085AD2">
        <w:rPr>
          <w:rFonts w:cstheme="majorHAnsi"/>
          <w:b/>
          <w:color w:val="000000" w:themeColor="text1"/>
          <w:sz w:val="36"/>
          <w:szCs w:val="36"/>
        </w:rPr>
        <w:t xml:space="preserve">Conduct Referral Process </w:t>
      </w:r>
      <w:r w:rsidR="00085AD2">
        <w:rPr>
          <w:rFonts w:cstheme="majorHAnsi"/>
          <w:b/>
          <w:color w:val="000000" w:themeColor="text1"/>
          <w:sz w:val="36"/>
          <w:szCs w:val="36"/>
        </w:rPr>
        <w:t>Reflection Tool</w:t>
      </w:r>
    </w:p>
    <w:p w14:paraId="58B8602B" w14:textId="344E2A43" w:rsidR="00047B65" w:rsidRDefault="00047B65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1315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81"/>
        <w:gridCol w:w="1525"/>
        <w:gridCol w:w="1525"/>
        <w:gridCol w:w="1525"/>
      </w:tblGrid>
      <w:tr w:rsidR="00D37EBF" w:rsidRPr="001613EF" w14:paraId="52BAC78A" w14:textId="77777777" w:rsidTr="001F31CA">
        <w:trPr>
          <w:trHeight w:val="36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D44699" w14:textId="77777777" w:rsidR="00D37EBF" w:rsidRPr="001613EF" w:rsidRDefault="00D37EBF" w:rsidP="00D73A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6B25C2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Data-Based Decision Making</w:t>
            </w:r>
          </w:p>
        </w:tc>
        <w:tc>
          <w:tcPr>
            <w:tcW w:w="1525" w:type="dxa"/>
          </w:tcPr>
          <w:p w14:paraId="2E22B3F4" w14:textId="3801F4B0" w:rsidR="00D37EBF" w:rsidRPr="001613EF" w:rsidRDefault="00D37EBF" w:rsidP="00D73AB4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kern w:val="24"/>
              </w:rPr>
              <w:t>In Place</w:t>
            </w:r>
          </w:p>
        </w:tc>
        <w:tc>
          <w:tcPr>
            <w:tcW w:w="1525" w:type="dxa"/>
          </w:tcPr>
          <w:p w14:paraId="045E6BB7" w14:textId="3E14E738" w:rsidR="00D37EBF" w:rsidRPr="001613EF" w:rsidRDefault="00D37EBF" w:rsidP="00D73AB4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kern w:val="24"/>
              </w:rPr>
              <w:t>Partially-in-Place</w:t>
            </w:r>
          </w:p>
        </w:tc>
        <w:tc>
          <w:tcPr>
            <w:tcW w:w="1525" w:type="dxa"/>
          </w:tcPr>
          <w:p w14:paraId="4DA51F9E" w14:textId="42F71CAB" w:rsidR="00D37EBF" w:rsidRPr="001613EF" w:rsidRDefault="00D37EBF" w:rsidP="00D73AB4">
            <w:pPr>
              <w:pStyle w:val="NormalWeb"/>
              <w:spacing w:before="0"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kern w:val="24"/>
              </w:rPr>
              <w:t>Not-in-Place</w:t>
            </w:r>
          </w:p>
        </w:tc>
      </w:tr>
      <w:tr w:rsidR="00D37EBF" w:rsidRPr="001613EF" w14:paraId="54CCAC57" w14:textId="77777777" w:rsidTr="001F31CA">
        <w:trPr>
          <w:trHeight w:val="36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687BB4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Does your school / district have a routine process for recruiting stakeholder (parents, students, and staff) input into the design and evaluation of the conduct referral procedures and data?</w:t>
            </w:r>
          </w:p>
        </w:tc>
        <w:tc>
          <w:tcPr>
            <w:tcW w:w="1525" w:type="dxa"/>
          </w:tcPr>
          <w:p w14:paraId="60D08A3C" w14:textId="77777777" w:rsidR="00D37EBF" w:rsidRPr="00E11FC8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25" w:type="dxa"/>
          </w:tcPr>
          <w:p w14:paraId="3B54027A" w14:textId="77777777" w:rsidR="00D37EBF" w:rsidRPr="00E11FC8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25" w:type="dxa"/>
          </w:tcPr>
          <w:p w14:paraId="650A3CD5" w14:textId="2984A592" w:rsidR="00D37EBF" w:rsidRPr="00E11FC8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D37EBF" w:rsidRPr="001613EF" w14:paraId="0C34F0FF" w14:textId="77777777" w:rsidTr="001F31CA">
        <w:trPr>
          <w:trHeight w:val="728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02A643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Do you implement a routine integrity check of submitted referrals to determine that they are being filled out correctly and for qualified reasons?</w:t>
            </w:r>
          </w:p>
        </w:tc>
        <w:tc>
          <w:tcPr>
            <w:tcW w:w="1525" w:type="dxa"/>
          </w:tcPr>
          <w:p w14:paraId="7C6B6C79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Calibri" w:hAnsiTheme="majorHAnsi" w:cstheme="majorHAnsi"/>
                <w:b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402D6B92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Calibri" w:hAnsiTheme="majorHAnsi" w:cstheme="majorHAnsi"/>
                <w:b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4AB13B18" w14:textId="1D8B19D9" w:rsidR="00D37EBF" w:rsidRPr="001613EF" w:rsidRDefault="00D37EBF" w:rsidP="00D73AB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Calibri" w:hAnsiTheme="majorHAnsi" w:cstheme="majorHAnsi"/>
                <w:b/>
                <w:iCs/>
                <w:color w:val="000000" w:themeColor="text1"/>
                <w:kern w:val="24"/>
              </w:rPr>
            </w:pPr>
          </w:p>
        </w:tc>
      </w:tr>
      <w:tr w:rsidR="001F31CA" w:rsidRPr="001613EF" w14:paraId="29EE05D0" w14:textId="77777777" w:rsidTr="001F31CA">
        <w:trPr>
          <w:trHeight w:val="36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10071" w14:textId="1D4E4667" w:rsidR="001F31CA" w:rsidRPr="00D73AB4" w:rsidRDefault="00D73AB4" w:rsidP="00D73AB4">
            <w:pPr>
              <w:pStyle w:val="NormalWeb"/>
              <w:spacing w:before="0" w:beforeAutospacing="0" w:after="12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Does the administrative team implement a monthly review of </w:t>
            </w:r>
            <w:r w:rsidR="001F31CA"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office referral</w:t>
            </w:r>
            <w:r w:rsidR="001F31CA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 </w:t>
            </w:r>
            <w:r w:rsidR="001F31CA"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and suspension </w:t>
            </w: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data in </w:t>
            </w:r>
            <w:r w:rsidR="001F31CA"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graphed form, </w:t>
            </w: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using metrics that stabilize the data and illuminate patterns</w:t>
            </w:r>
            <w:r w:rsidR="001F31CA"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?</w:t>
            </w:r>
            <w:r w:rsidR="001F31CA" w:rsidRPr="00D73AB4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  <w:tc>
          <w:tcPr>
            <w:tcW w:w="1525" w:type="dxa"/>
          </w:tcPr>
          <w:p w14:paraId="2EBE86EF" w14:textId="77777777" w:rsidR="001F31CA" w:rsidRPr="001613EF" w:rsidRDefault="001F31CA" w:rsidP="00D73AB4">
            <w:pPr>
              <w:pStyle w:val="NormalWeb"/>
              <w:spacing w:before="0" w:beforeAutospacing="0" w:after="120" w:afterAutospacing="0"/>
              <w:rPr>
                <w:rFonts w:asciiTheme="majorHAnsi" w:eastAsia="Calibri" w:hAnsiTheme="majorHAnsi" w:cstheme="majorHAnsi"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5E4B59C9" w14:textId="77777777" w:rsidR="001F31CA" w:rsidRPr="001613EF" w:rsidRDefault="001F31CA" w:rsidP="00D73AB4">
            <w:pPr>
              <w:pStyle w:val="NormalWeb"/>
              <w:spacing w:before="0" w:beforeAutospacing="0" w:after="120" w:afterAutospacing="0"/>
              <w:rPr>
                <w:rFonts w:asciiTheme="majorHAnsi" w:eastAsia="Calibri" w:hAnsiTheme="majorHAnsi" w:cstheme="majorHAnsi"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451AA30D" w14:textId="2DE113BA" w:rsidR="001F31CA" w:rsidRPr="001613EF" w:rsidRDefault="001F31CA" w:rsidP="00D73AB4">
            <w:pPr>
              <w:pStyle w:val="NormalWeb"/>
              <w:spacing w:before="0" w:beforeAutospacing="0" w:after="120" w:afterAutospacing="0"/>
              <w:rPr>
                <w:rFonts w:asciiTheme="majorHAnsi" w:eastAsia="Calibri" w:hAnsiTheme="majorHAnsi" w:cstheme="majorHAnsi"/>
                <w:iCs/>
                <w:color w:val="000000" w:themeColor="text1"/>
                <w:kern w:val="24"/>
              </w:rPr>
            </w:pPr>
          </w:p>
        </w:tc>
      </w:tr>
      <w:tr w:rsidR="001F31CA" w:rsidRPr="001613EF" w14:paraId="1FED6455" w14:textId="77777777" w:rsidTr="001F31CA">
        <w:trPr>
          <w:trHeight w:val="36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0711A8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  <w:r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Do the data drive changes to practices, procedures, and professional development?</w:t>
            </w:r>
          </w:p>
        </w:tc>
        <w:tc>
          <w:tcPr>
            <w:tcW w:w="1525" w:type="dxa"/>
          </w:tcPr>
          <w:p w14:paraId="326F7A98" w14:textId="77777777" w:rsidR="001F31CA" w:rsidRPr="001613EF" w:rsidRDefault="001F31CA" w:rsidP="00D73AB4">
            <w:pPr>
              <w:pStyle w:val="NormalWeb"/>
              <w:spacing w:before="0" w:beforeAutospacing="0" w:after="12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79BEF59A" w14:textId="77777777" w:rsidR="001F31CA" w:rsidRPr="001613EF" w:rsidRDefault="001F31CA" w:rsidP="00D73AB4">
            <w:pPr>
              <w:pStyle w:val="NormalWeb"/>
              <w:spacing w:before="0" w:beforeAutospacing="0" w:after="12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2D3D337F" w14:textId="07390B34" w:rsidR="001F31CA" w:rsidRPr="001613EF" w:rsidRDefault="001F31CA" w:rsidP="00D73AB4">
            <w:pPr>
              <w:pStyle w:val="NormalWeb"/>
              <w:spacing w:before="0" w:beforeAutospacing="0" w:after="12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</w:tr>
      <w:tr w:rsidR="001F31CA" w:rsidRPr="001613EF" w14:paraId="27B24FCB" w14:textId="77777777" w:rsidTr="001F31CA">
        <w:trPr>
          <w:trHeight w:val="36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34E5F1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Do parents and staff receive routine updates on school and district data trends that describes conduct referral patterns?</w:t>
            </w:r>
          </w:p>
        </w:tc>
        <w:tc>
          <w:tcPr>
            <w:tcW w:w="1525" w:type="dxa"/>
          </w:tcPr>
          <w:p w14:paraId="711B7CCB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468F6C42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61662BFC" w14:textId="6BFD57BA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</w:tr>
    </w:tbl>
    <w:p w14:paraId="40F4760B" w14:textId="5EEFAC17" w:rsidR="00047B65" w:rsidRDefault="00047B65"/>
    <w:p w14:paraId="2BA9E3EB" w14:textId="2F9987FD" w:rsidR="00D73AB4" w:rsidRDefault="00D73AB4"/>
    <w:p w14:paraId="3002B1AE" w14:textId="72671F99" w:rsidR="00D73AB4" w:rsidRDefault="00D73AB4"/>
    <w:p w14:paraId="7934240B" w14:textId="6057B6C0" w:rsidR="00D73AB4" w:rsidRDefault="00D73AB4"/>
    <w:p w14:paraId="200ACE3A" w14:textId="77777777" w:rsidR="00D73AB4" w:rsidRDefault="00D73AB4"/>
    <w:tbl>
      <w:tblPr>
        <w:tblW w:w="1315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81"/>
        <w:gridCol w:w="1525"/>
        <w:gridCol w:w="1525"/>
        <w:gridCol w:w="1525"/>
      </w:tblGrid>
      <w:tr w:rsidR="00D37EBF" w:rsidRPr="001613EF" w14:paraId="79BD5517" w14:textId="77777777" w:rsidTr="001F31CA">
        <w:trPr>
          <w:trHeight w:val="27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752F4A" w14:textId="77777777" w:rsidR="00D37EBF" w:rsidRPr="001613EF" w:rsidRDefault="00D37EBF" w:rsidP="00D73A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613EF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 </w:t>
            </w:r>
            <w:r w:rsidRPr="006B25C2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</w:rPr>
              <w:t>Capacity Building Reflection Items</w:t>
            </w:r>
          </w:p>
        </w:tc>
        <w:tc>
          <w:tcPr>
            <w:tcW w:w="1525" w:type="dxa"/>
          </w:tcPr>
          <w:p w14:paraId="33F243EE" w14:textId="3BF83484" w:rsidR="00D37EBF" w:rsidRPr="001613EF" w:rsidRDefault="00D37EBF" w:rsidP="00D73A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t>In Place</w:t>
            </w:r>
          </w:p>
        </w:tc>
        <w:tc>
          <w:tcPr>
            <w:tcW w:w="1525" w:type="dxa"/>
          </w:tcPr>
          <w:p w14:paraId="7024CABD" w14:textId="02869B5E" w:rsidR="00D37EBF" w:rsidRPr="001613EF" w:rsidRDefault="00D37EBF" w:rsidP="00D73A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t>Partially-in-Place</w:t>
            </w:r>
          </w:p>
        </w:tc>
        <w:tc>
          <w:tcPr>
            <w:tcW w:w="1525" w:type="dxa"/>
          </w:tcPr>
          <w:p w14:paraId="1BA3E60E" w14:textId="698F5D39" w:rsidR="00D37EBF" w:rsidRPr="001613EF" w:rsidRDefault="00D37EBF" w:rsidP="00D73A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t>Not-in-Place</w:t>
            </w:r>
          </w:p>
        </w:tc>
      </w:tr>
      <w:tr w:rsidR="00047B65" w:rsidRPr="001613EF" w14:paraId="35DAA241" w14:textId="77777777" w:rsidTr="001F31CA">
        <w:trPr>
          <w:trHeight w:val="27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3360D8" w14:textId="03663FF1" w:rsidR="00D73AB4" w:rsidRDefault="00047B65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Do</w:t>
            </w:r>
            <w:r w:rsidR="00D73AB4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 80% or more of your teachers and staff use </w:t>
            </w:r>
            <w:r w:rsidR="00BE5512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evidence-based</w:t>
            </w:r>
            <w:r w:rsidR="00D73AB4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 practices to create </w:t>
            </w:r>
            <w:proofErr w:type="gramStart"/>
            <w:r w:rsidR="00D73AB4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prevention oriented</w:t>
            </w:r>
            <w:proofErr w:type="gramEnd"/>
            <w:r w:rsidR="00D73AB4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 routines and environments including, but not limited to:</w:t>
            </w:r>
          </w:p>
          <w:p w14:paraId="01DD88E5" w14:textId="77777777" w:rsidR="00D73AB4" w:rsidRDefault="00D73AB4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  <w:p w14:paraId="33B638EF" w14:textId="34559E61" w:rsidR="00D73AB4" w:rsidRDefault="00D73AB4" w:rsidP="00D73AB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Defining and teaching expected area level skills, habits, and actions</w:t>
            </w:r>
          </w:p>
          <w:p w14:paraId="04249891" w14:textId="77777777" w:rsidR="00D73AB4" w:rsidRDefault="00D73AB4" w:rsidP="00D73AB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Using precorrection, and a review of expectations at the start of routines</w:t>
            </w:r>
          </w:p>
          <w:p w14:paraId="1D2A9DAC" w14:textId="77777777" w:rsidR="00D73AB4" w:rsidRDefault="00D73AB4" w:rsidP="00D73AB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Using a 4:1 messaging ratio equitably with all students</w:t>
            </w:r>
          </w:p>
          <w:p w14:paraId="26B8C5FF" w14:textId="3D325F4C" w:rsidR="00047B65" w:rsidRPr="001613EF" w:rsidRDefault="00D73AB4" w:rsidP="00D73AB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Using core instructional practices to engage students in routine</w:t>
            </w:r>
          </w:p>
        </w:tc>
        <w:tc>
          <w:tcPr>
            <w:tcW w:w="1525" w:type="dxa"/>
          </w:tcPr>
          <w:p w14:paraId="6A66309E" w14:textId="77777777" w:rsidR="00047B65" w:rsidRPr="00047B65" w:rsidRDefault="00047B65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25" w:type="dxa"/>
          </w:tcPr>
          <w:p w14:paraId="6D640433" w14:textId="77777777" w:rsidR="00047B65" w:rsidRPr="00047B65" w:rsidRDefault="00047B65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25" w:type="dxa"/>
          </w:tcPr>
          <w:p w14:paraId="7D3A04E4" w14:textId="16843EB4" w:rsidR="00047B65" w:rsidRPr="00047B65" w:rsidRDefault="00047B65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047B65" w:rsidRPr="001613EF" w14:paraId="56692980" w14:textId="77777777" w:rsidTr="001F31CA">
        <w:trPr>
          <w:trHeight w:val="27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B5DB32" w14:textId="77777777" w:rsidR="00047B65" w:rsidRPr="001613EF" w:rsidRDefault="00047B65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Is your school’s process for responding to conduct, conflict, and behavior issues framed to have a restorative as opposed to punitive intended outcome?</w:t>
            </w:r>
          </w:p>
        </w:tc>
        <w:tc>
          <w:tcPr>
            <w:tcW w:w="1525" w:type="dxa"/>
          </w:tcPr>
          <w:p w14:paraId="0803A377" w14:textId="77777777" w:rsidR="00047B65" w:rsidRPr="001613EF" w:rsidRDefault="00047B65" w:rsidP="00D73AB4">
            <w:pPr>
              <w:pStyle w:val="NormalWeb"/>
              <w:spacing w:before="0" w:after="0"/>
              <w:ind w:left="360"/>
              <w:rPr>
                <w:rFonts w:asciiTheme="majorHAnsi" w:hAnsiTheme="majorHAnsi" w:cstheme="majorHAnsi"/>
                <w:b/>
                <w:iCs/>
                <w:color w:val="000000"/>
                <w:kern w:val="24"/>
              </w:rPr>
            </w:pPr>
          </w:p>
        </w:tc>
        <w:tc>
          <w:tcPr>
            <w:tcW w:w="1525" w:type="dxa"/>
          </w:tcPr>
          <w:p w14:paraId="0EA2CC4C" w14:textId="77777777" w:rsidR="00047B65" w:rsidRPr="001613EF" w:rsidRDefault="00047B65" w:rsidP="00D73AB4">
            <w:pPr>
              <w:pStyle w:val="NormalWeb"/>
              <w:spacing w:before="0" w:after="0"/>
              <w:rPr>
                <w:rFonts w:asciiTheme="majorHAnsi" w:hAnsiTheme="majorHAnsi" w:cstheme="majorHAnsi"/>
                <w:b/>
                <w:iCs/>
                <w:color w:val="000000"/>
                <w:kern w:val="24"/>
              </w:rPr>
            </w:pPr>
          </w:p>
        </w:tc>
        <w:tc>
          <w:tcPr>
            <w:tcW w:w="1525" w:type="dxa"/>
          </w:tcPr>
          <w:p w14:paraId="0DA6E343" w14:textId="225DEAC1" w:rsidR="00047B65" w:rsidRPr="001613EF" w:rsidRDefault="00047B65" w:rsidP="00D73AB4">
            <w:pPr>
              <w:pStyle w:val="NormalWeb"/>
              <w:spacing w:before="0" w:after="0"/>
              <w:rPr>
                <w:rFonts w:asciiTheme="majorHAnsi" w:hAnsiTheme="majorHAnsi" w:cstheme="majorHAnsi"/>
                <w:b/>
                <w:iCs/>
                <w:color w:val="000000"/>
                <w:kern w:val="24"/>
              </w:rPr>
            </w:pPr>
          </w:p>
        </w:tc>
      </w:tr>
      <w:tr w:rsidR="001F31CA" w:rsidRPr="001613EF" w14:paraId="32397B9C" w14:textId="77777777" w:rsidTr="00730BCD">
        <w:trPr>
          <w:trHeight w:val="27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D3DC7B" w14:textId="57ECF739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Do your teachers and staff receive annual professional development </w:t>
            </w: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on effective practices to use when </w:t>
            </w: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respond</w:t>
            </w: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ing</w:t>
            </w: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 to conduct, conflict, and behavior issues</w:t>
            </w:r>
            <w:r w:rsidR="00D73AB4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, including practices to preserve student dignity</w:t>
            </w: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?  </w:t>
            </w:r>
          </w:p>
        </w:tc>
        <w:tc>
          <w:tcPr>
            <w:tcW w:w="1525" w:type="dxa"/>
          </w:tcPr>
          <w:p w14:paraId="4666C445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25" w:type="dxa"/>
          </w:tcPr>
          <w:p w14:paraId="6F846F78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25" w:type="dxa"/>
          </w:tcPr>
          <w:p w14:paraId="19BE3D11" w14:textId="28119AA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1F31CA" w:rsidRPr="001613EF" w14:paraId="57A2C878" w14:textId="77777777" w:rsidTr="00730BCD">
        <w:trPr>
          <w:trHeight w:val="27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5AA954" w14:textId="5B7461F4" w:rsidR="001F31CA" w:rsidRPr="001613EF" w:rsidRDefault="00D73AB4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Are practices and strategies </w:t>
            </w:r>
            <w:r w:rsidR="001F31CA"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to neutralize bias</w:t>
            </w: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 and</w:t>
            </w:r>
            <w:r w:rsidR="001F31CA"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 protect equitable decision-making </w:t>
            </w: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includ</w:t>
            </w:r>
            <w:r w:rsidR="00BE5512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ed</w:t>
            </w: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 in professional development about implementing area and office managed procedures?</w:t>
            </w:r>
          </w:p>
        </w:tc>
        <w:tc>
          <w:tcPr>
            <w:tcW w:w="1525" w:type="dxa"/>
          </w:tcPr>
          <w:p w14:paraId="69289FE4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568ADB72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031F022A" w14:textId="78C2EDC5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</w:tr>
      <w:tr w:rsidR="001F31CA" w:rsidRPr="001613EF" w14:paraId="20C96EF5" w14:textId="77777777" w:rsidTr="00730BCD">
        <w:trPr>
          <w:trHeight w:val="27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15887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Does your school have a routine procedure for staff to reflect on the </w:t>
            </w: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conduct and referral patterns</w:t>
            </w: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?</w:t>
            </w:r>
          </w:p>
          <w:p w14:paraId="77ADFA26" w14:textId="77777777" w:rsidR="001F31CA" w:rsidRPr="001613EF" w:rsidRDefault="001F31CA" w:rsidP="00D73A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13EF">
              <w:rPr>
                <w:rFonts w:asciiTheme="majorHAnsi" w:eastAsia="Calibri" w:hAnsiTheme="majorHAnsi" w:cstheme="majorHAnsi"/>
                <w:i/>
                <w:iCs/>
                <w:color w:val="000000"/>
                <w:kern w:val="24"/>
              </w:rPr>
              <w:t>Follow-up reflection prompts</w:t>
            </w:r>
          </w:p>
          <w:p w14:paraId="68626C1A" w14:textId="77777777" w:rsidR="001F31CA" w:rsidRPr="00085AD2" w:rsidRDefault="001F31CA" w:rsidP="00D73A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613EF">
              <w:rPr>
                <w:rFonts w:asciiTheme="majorHAnsi" w:eastAsia="Calibri" w:hAnsiTheme="majorHAnsi" w:cstheme="majorHAnsi"/>
                <w:i/>
                <w:iCs/>
                <w:color w:val="000000"/>
                <w:kern w:val="24"/>
              </w:rPr>
              <w:t>Follow-up conversations</w:t>
            </w:r>
          </w:p>
          <w:p w14:paraId="22DA1BA8" w14:textId="77777777" w:rsidR="001F31CA" w:rsidRPr="00085AD2" w:rsidRDefault="001F31CA" w:rsidP="00D73AB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085AD2">
              <w:rPr>
                <w:rFonts w:asciiTheme="majorHAnsi" w:eastAsia="Calibri" w:hAnsiTheme="majorHAnsi" w:cstheme="majorHAnsi"/>
                <w:i/>
                <w:iCs/>
                <w:color w:val="000000"/>
                <w:kern w:val="24"/>
              </w:rPr>
              <w:t>Problem-solving PLCs</w:t>
            </w:r>
          </w:p>
        </w:tc>
        <w:tc>
          <w:tcPr>
            <w:tcW w:w="1525" w:type="dxa"/>
          </w:tcPr>
          <w:p w14:paraId="744DD44A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68D61A7C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2463B953" w14:textId="7BBBF25D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</w:tr>
      <w:tr w:rsidR="00BE5512" w:rsidRPr="001613EF" w14:paraId="4F81BFEB" w14:textId="77777777" w:rsidTr="00730BCD">
        <w:trPr>
          <w:trHeight w:val="277"/>
        </w:trPr>
        <w:tc>
          <w:tcPr>
            <w:tcW w:w="85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45808" w14:textId="2006B16C" w:rsidR="00BE5512" w:rsidRPr="001613EF" w:rsidRDefault="00BE5512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Do staff and administrators receive guidance about how to </w:t>
            </w:r>
            <w:r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how to neutralize bias/ protect equitable decision making in </w:t>
            </w:r>
            <w:r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behavior and </w:t>
            </w:r>
            <w:r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conduct related decision-making?</w:t>
            </w:r>
          </w:p>
        </w:tc>
        <w:tc>
          <w:tcPr>
            <w:tcW w:w="1525" w:type="dxa"/>
          </w:tcPr>
          <w:p w14:paraId="5C81EECA" w14:textId="77777777" w:rsidR="00BE5512" w:rsidRPr="001613EF" w:rsidRDefault="00BE5512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7FB2AAF3" w14:textId="77777777" w:rsidR="00BE5512" w:rsidRPr="001613EF" w:rsidRDefault="00BE5512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525" w:type="dxa"/>
          </w:tcPr>
          <w:p w14:paraId="045517E1" w14:textId="77777777" w:rsidR="00BE5512" w:rsidRPr="001613EF" w:rsidRDefault="00BE5512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</w:pPr>
          </w:p>
        </w:tc>
      </w:tr>
    </w:tbl>
    <w:p w14:paraId="35B8219C" w14:textId="73EE2C45" w:rsidR="00047B65" w:rsidRDefault="00047B65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32541AA" w14:textId="1754CE22" w:rsidR="00047B65" w:rsidRDefault="00047B65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B74AABF" w14:textId="775567C2" w:rsidR="00047B65" w:rsidRDefault="00047B65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27A8805" w14:textId="51C0FC1C" w:rsidR="001F31CA" w:rsidRDefault="001F31CA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394A545" w14:textId="289545DF" w:rsidR="001F31CA" w:rsidRDefault="001F31CA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1A654F5" w14:textId="6515DF6B" w:rsidR="001F31CA" w:rsidRDefault="001F31CA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328F05B" w14:textId="77777777" w:rsidR="001F31CA" w:rsidRDefault="001F31CA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3C85951" w14:textId="28174CDF" w:rsidR="00047B65" w:rsidRDefault="00047B65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1315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54"/>
        <w:gridCol w:w="1534"/>
        <w:gridCol w:w="1534"/>
        <w:gridCol w:w="1534"/>
      </w:tblGrid>
      <w:tr w:rsidR="00D37EBF" w:rsidRPr="001613EF" w14:paraId="25DECD4A" w14:textId="77777777" w:rsidTr="001F31CA">
        <w:trPr>
          <w:trHeight w:val="286"/>
        </w:trPr>
        <w:tc>
          <w:tcPr>
            <w:tcW w:w="8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E9799" w14:textId="3EB72144" w:rsidR="00D37EBF" w:rsidRPr="001613EF" w:rsidRDefault="00D37EBF" w:rsidP="00D73A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6B25C2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</w:rPr>
              <w:t>Office Managed Decision-Making Reflection Items</w:t>
            </w:r>
          </w:p>
        </w:tc>
        <w:tc>
          <w:tcPr>
            <w:tcW w:w="1534" w:type="dxa"/>
          </w:tcPr>
          <w:p w14:paraId="1DA93CAC" w14:textId="60FB9B04" w:rsidR="00D37EBF" w:rsidRPr="001613EF" w:rsidRDefault="00D37EBF" w:rsidP="00D73A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t>In Place</w:t>
            </w:r>
          </w:p>
        </w:tc>
        <w:tc>
          <w:tcPr>
            <w:tcW w:w="1534" w:type="dxa"/>
          </w:tcPr>
          <w:p w14:paraId="008950FB" w14:textId="2F76C9F0" w:rsidR="00D37EBF" w:rsidRPr="001613EF" w:rsidRDefault="00D37EBF" w:rsidP="00D73A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t>Partially-in-Place</w:t>
            </w:r>
          </w:p>
        </w:tc>
        <w:tc>
          <w:tcPr>
            <w:tcW w:w="1534" w:type="dxa"/>
          </w:tcPr>
          <w:p w14:paraId="420A72B1" w14:textId="7B2DBBB9" w:rsidR="00D37EBF" w:rsidRPr="001613EF" w:rsidRDefault="00D37EBF" w:rsidP="00D73A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t>Not-in-Place</w:t>
            </w:r>
          </w:p>
        </w:tc>
      </w:tr>
      <w:tr w:rsidR="00D37EBF" w:rsidRPr="001613EF" w14:paraId="22C2CF29" w14:textId="77777777" w:rsidTr="001F31CA">
        <w:trPr>
          <w:trHeight w:val="304"/>
        </w:trPr>
        <w:tc>
          <w:tcPr>
            <w:tcW w:w="8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A2553A" w14:textId="23CE2FCD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Do you have a flow chart or procedure list that illustrates the procedures for office managed conduct?</w:t>
            </w:r>
          </w:p>
        </w:tc>
        <w:tc>
          <w:tcPr>
            <w:tcW w:w="1534" w:type="dxa"/>
          </w:tcPr>
          <w:p w14:paraId="5B0BE6E1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72A51C6D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70AC72F3" w14:textId="551D2B1D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BE5512" w:rsidRPr="001613EF" w14:paraId="0FD85EC5" w14:textId="77777777" w:rsidTr="001F31CA">
        <w:trPr>
          <w:trHeight w:val="304"/>
        </w:trPr>
        <w:tc>
          <w:tcPr>
            <w:tcW w:w="8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F350A7" w14:textId="5C378A0F" w:rsidR="00BE5512" w:rsidRDefault="00BE5512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Is there a routine process for reflecting on the implementation of procedures, including the effectiveness of strategies and procedures to </w:t>
            </w:r>
            <w:r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neutralize bias/ protect equitable decision making in conduct related decision-making?</w:t>
            </w:r>
          </w:p>
        </w:tc>
        <w:tc>
          <w:tcPr>
            <w:tcW w:w="1534" w:type="dxa"/>
          </w:tcPr>
          <w:p w14:paraId="6D69DF0C" w14:textId="77777777" w:rsidR="00BE5512" w:rsidRPr="001613EF" w:rsidRDefault="00BE5512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119EBB09" w14:textId="77777777" w:rsidR="00BE5512" w:rsidRPr="001613EF" w:rsidRDefault="00BE5512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1179FC7F" w14:textId="77777777" w:rsidR="00BE5512" w:rsidRPr="001613EF" w:rsidRDefault="00BE5512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D37EBF" w:rsidRPr="001613EF" w14:paraId="3F7B7620" w14:textId="77777777" w:rsidTr="001F31CA">
        <w:trPr>
          <w:trHeight w:val="304"/>
        </w:trPr>
        <w:tc>
          <w:tcPr>
            <w:tcW w:w="8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1F02C3" w14:textId="62DFEA79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Does your school have </w:t>
            </w:r>
            <w:r w:rsidR="001F31CA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stakeholder</w:t>
            </w: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 definition / criteria </w:t>
            </w:r>
            <w:r w:rsidR="001F31CA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that guides decisions about what is office managed conduct?  </w:t>
            </w:r>
          </w:p>
        </w:tc>
        <w:tc>
          <w:tcPr>
            <w:tcW w:w="1534" w:type="dxa"/>
          </w:tcPr>
          <w:p w14:paraId="344744FA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2D2DE7AA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5ACB2C9D" w14:textId="669D1BFA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D37EBF" w:rsidRPr="001613EF" w14:paraId="3C6AC325" w14:textId="77777777" w:rsidTr="001F31CA">
        <w:trPr>
          <w:trHeight w:val="304"/>
        </w:trPr>
        <w:tc>
          <w:tcPr>
            <w:tcW w:w="8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08D70" w14:textId="1ADEC6F4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Are teachers and staff provide</w:t>
            </w:r>
            <w:r w:rsidR="00BE5512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d</w:t>
            </w: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 with response protocols for responding to dress code, electronics, and late to class?   </w:t>
            </w:r>
          </w:p>
        </w:tc>
        <w:tc>
          <w:tcPr>
            <w:tcW w:w="1534" w:type="dxa"/>
          </w:tcPr>
          <w:p w14:paraId="474B71E2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345CC923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264EE9C4" w14:textId="3DDC4B8F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D37EBF" w:rsidRPr="001613EF" w14:paraId="5C2A84AA" w14:textId="77777777" w:rsidTr="001F31CA">
        <w:trPr>
          <w:trHeight w:val="304"/>
        </w:trPr>
        <w:tc>
          <w:tcPr>
            <w:tcW w:w="8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33DE8" w14:textId="77777777" w:rsidR="00D37EBF" w:rsidRPr="00CA26B1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Does your school have a</w:t>
            </w: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 method (e.g., form or electronic system) for documenting referrals to the office for conduct issues, regardless of disciplinary decision made? </w:t>
            </w:r>
          </w:p>
        </w:tc>
        <w:tc>
          <w:tcPr>
            <w:tcW w:w="1534" w:type="dxa"/>
          </w:tcPr>
          <w:p w14:paraId="65FFEF71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2691AE66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583AA075" w14:textId="64F6AAB6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D37EBF" w:rsidRPr="001613EF" w14:paraId="7DF434FA" w14:textId="77777777" w:rsidTr="001F31CA">
        <w:trPr>
          <w:trHeight w:val="304"/>
        </w:trPr>
        <w:tc>
          <w:tcPr>
            <w:tcW w:w="8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EAE93" w14:textId="06F32E3E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Does your school provide teachers and staff with written procedures, </w:t>
            </w:r>
            <w:r w:rsidR="00BE5512"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examples,</w:t>
            </w: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 and strategies of things to try for commonly occurring conduct infractions (e.g., dress code, coming to class late, cell phone use) to enhance school-wide consistency in response?</w:t>
            </w:r>
          </w:p>
        </w:tc>
        <w:tc>
          <w:tcPr>
            <w:tcW w:w="1534" w:type="dxa"/>
          </w:tcPr>
          <w:p w14:paraId="66A37FDE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296D6634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34" w:type="dxa"/>
          </w:tcPr>
          <w:p w14:paraId="4D9C3D9B" w14:textId="5CCAAEDF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D37EBF" w:rsidRPr="001613EF" w14:paraId="1CDF3B65" w14:textId="77777777" w:rsidTr="001F31CA">
        <w:trPr>
          <w:trHeight w:val="286"/>
        </w:trPr>
        <w:tc>
          <w:tcPr>
            <w:tcW w:w="85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C87B3" w14:textId="3D80670A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Is there a consistent procedure for managing time out of class </w:t>
            </w:r>
            <w:r w:rsidR="00BE5512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when</w:t>
            </w:r>
            <w:r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 students </w:t>
            </w:r>
            <w:r w:rsidR="00BE5512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 xml:space="preserve">are </w:t>
            </w:r>
            <w:r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sent to the office?</w:t>
            </w:r>
          </w:p>
        </w:tc>
        <w:tc>
          <w:tcPr>
            <w:tcW w:w="1534" w:type="dxa"/>
          </w:tcPr>
          <w:p w14:paraId="04E7D210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Cs/>
                <w:color w:val="000000" w:themeColor="text1"/>
                <w:kern w:val="24"/>
              </w:rPr>
            </w:pPr>
          </w:p>
        </w:tc>
        <w:tc>
          <w:tcPr>
            <w:tcW w:w="1534" w:type="dxa"/>
          </w:tcPr>
          <w:p w14:paraId="4C726CF4" w14:textId="77777777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Cs/>
                <w:color w:val="000000" w:themeColor="text1"/>
                <w:kern w:val="24"/>
              </w:rPr>
            </w:pPr>
          </w:p>
        </w:tc>
        <w:tc>
          <w:tcPr>
            <w:tcW w:w="1534" w:type="dxa"/>
          </w:tcPr>
          <w:p w14:paraId="628ED71C" w14:textId="590DE3C5" w:rsidR="00D37EBF" w:rsidRPr="001613EF" w:rsidRDefault="00D37EBF" w:rsidP="00D73AB4">
            <w:pPr>
              <w:pStyle w:val="NormalWeb"/>
              <w:spacing w:before="0" w:beforeAutospacing="0" w:after="0" w:afterAutospacing="0"/>
              <w:rPr>
                <w:rFonts w:asciiTheme="majorHAnsi" w:eastAsia="Calibri" w:hAnsiTheme="majorHAnsi" w:cstheme="majorHAnsi"/>
                <w:iCs/>
                <w:color w:val="000000" w:themeColor="text1"/>
                <w:kern w:val="24"/>
              </w:rPr>
            </w:pPr>
          </w:p>
        </w:tc>
      </w:tr>
    </w:tbl>
    <w:p w14:paraId="2C4A5D56" w14:textId="77777777" w:rsidR="00F10D5B" w:rsidRPr="001613EF" w:rsidRDefault="00F10D5B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BEB718D" w14:textId="01FDB005" w:rsidR="003D06B9" w:rsidRDefault="003D06B9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tbl>
      <w:tblPr>
        <w:tblW w:w="1315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36"/>
        <w:gridCol w:w="1540"/>
        <w:gridCol w:w="1540"/>
        <w:gridCol w:w="1540"/>
      </w:tblGrid>
      <w:tr w:rsidR="001F31CA" w:rsidRPr="001613EF" w14:paraId="7B88B5BC" w14:textId="77777777" w:rsidTr="00B71977">
        <w:trPr>
          <w:trHeight w:val="241"/>
        </w:trPr>
        <w:tc>
          <w:tcPr>
            <w:tcW w:w="8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0BFE52" w14:textId="4DDB7C71" w:rsidR="001F31CA" w:rsidRPr="001613EF" w:rsidRDefault="001F31CA" w:rsidP="00D73A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85AD2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Area Managed Decision-Making Reflection Items</w:t>
            </w:r>
          </w:p>
        </w:tc>
        <w:tc>
          <w:tcPr>
            <w:tcW w:w="1540" w:type="dxa"/>
          </w:tcPr>
          <w:p w14:paraId="49FC2952" w14:textId="3656E9CC" w:rsidR="001F31CA" w:rsidRPr="001613EF" w:rsidRDefault="001F31CA" w:rsidP="00D73A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t>In Place</w:t>
            </w:r>
          </w:p>
        </w:tc>
        <w:tc>
          <w:tcPr>
            <w:tcW w:w="1540" w:type="dxa"/>
          </w:tcPr>
          <w:p w14:paraId="69C9FE49" w14:textId="3F54100D" w:rsidR="001F31CA" w:rsidRPr="001613EF" w:rsidRDefault="001F31CA" w:rsidP="00D73A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t>Partially-in-Place</w:t>
            </w:r>
          </w:p>
        </w:tc>
        <w:tc>
          <w:tcPr>
            <w:tcW w:w="1540" w:type="dxa"/>
          </w:tcPr>
          <w:p w14:paraId="7A286A73" w14:textId="16F88D81" w:rsidR="001F31CA" w:rsidRPr="001613EF" w:rsidRDefault="001F31CA" w:rsidP="00D73AB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</w:rPr>
              <w:t>Not-in-Place</w:t>
            </w:r>
          </w:p>
        </w:tc>
      </w:tr>
      <w:tr w:rsidR="001F31CA" w:rsidRPr="001613EF" w14:paraId="3826AF95" w14:textId="77777777" w:rsidTr="00791175">
        <w:trPr>
          <w:trHeight w:val="241"/>
        </w:trPr>
        <w:tc>
          <w:tcPr>
            <w:tcW w:w="8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DD257C" w14:textId="283F1E3F" w:rsidR="001F31CA" w:rsidRPr="001613EF" w:rsidRDefault="001F31CA" w:rsidP="00D73AB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Do you have a flow chart or procedure list that conveys the specific procedures staff are to implement for area managed conduct?</w:t>
            </w:r>
          </w:p>
        </w:tc>
        <w:tc>
          <w:tcPr>
            <w:tcW w:w="1540" w:type="dxa"/>
          </w:tcPr>
          <w:p w14:paraId="3EEFA890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iCs/>
                <w:color w:val="000000"/>
                <w:kern w:val="24"/>
              </w:rPr>
            </w:pPr>
          </w:p>
        </w:tc>
        <w:tc>
          <w:tcPr>
            <w:tcW w:w="1540" w:type="dxa"/>
          </w:tcPr>
          <w:p w14:paraId="0B226EBD" w14:textId="77777777" w:rsidR="001F31CA" w:rsidRPr="001613EF" w:rsidRDefault="001F31CA" w:rsidP="00D73AB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iCs/>
                <w:color w:val="000000"/>
                <w:kern w:val="24"/>
              </w:rPr>
            </w:pPr>
          </w:p>
        </w:tc>
        <w:tc>
          <w:tcPr>
            <w:tcW w:w="1540" w:type="dxa"/>
          </w:tcPr>
          <w:p w14:paraId="0EF3C058" w14:textId="2FC1F563" w:rsidR="001F31CA" w:rsidRPr="001613EF" w:rsidRDefault="001F31CA" w:rsidP="00D73AB4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iCs/>
                <w:color w:val="000000"/>
                <w:kern w:val="24"/>
              </w:rPr>
            </w:pPr>
          </w:p>
        </w:tc>
      </w:tr>
      <w:tr w:rsidR="00BE5512" w:rsidRPr="001613EF" w14:paraId="58D3CD8B" w14:textId="77777777" w:rsidTr="00791175">
        <w:trPr>
          <w:trHeight w:val="241"/>
        </w:trPr>
        <w:tc>
          <w:tcPr>
            <w:tcW w:w="8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57D98" w14:textId="4B7A2131" w:rsidR="00BE5512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Is there a routine process for reflecting on the implementation of procedures, including the effectiveness of strategies and procedures to </w:t>
            </w:r>
            <w:r w:rsidRPr="001613EF">
              <w:rPr>
                <w:rFonts w:asciiTheme="majorHAnsi" w:eastAsia="Calibri" w:hAnsiTheme="majorHAnsi" w:cstheme="majorHAnsi"/>
                <w:i/>
                <w:iCs/>
                <w:color w:val="000000" w:themeColor="text1"/>
                <w:kern w:val="24"/>
              </w:rPr>
              <w:t>neutralize bias/ protect equitable decision making in conduct related decision-making?</w:t>
            </w:r>
          </w:p>
        </w:tc>
        <w:tc>
          <w:tcPr>
            <w:tcW w:w="1540" w:type="dxa"/>
          </w:tcPr>
          <w:p w14:paraId="35BFFB26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iCs/>
                <w:color w:val="000000"/>
                <w:kern w:val="24"/>
              </w:rPr>
            </w:pPr>
          </w:p>
        </w:tc>
        <w:tc>
          <w:tcPr>
            <w:tcW w:w="1540" w:type="dxa"/>
          </w:tcPr>
          <w:p w14:paraId="2112ACDC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iCs/>
                <w:color w:val="000000"/>
                <w:kern w:val="24"/>
              </w:rPr>
            </w:pPr>
          </w:p>
        </w:tc>
        <w:tc>
          <w:tcPr>
            <w:tcW w:w="1540" w:type="dxa"/>
          </w:tcPr>
          <w:p w14:paraId="647E3568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iCs/>
                <w:color w:val="000000"/>
                <w:kern w:val="24"/>
              </w:rPr>
            </w:pPr>
          </w:p>
        </w:tc>
      </w:tr>
      <w:tr w:rsidR="00BE5512" w:rsidRPr="001613EF" w14:paraId="7E7BAD4D" w14:textId="77777777" w:rsidTr="00816BED">
        <w:trPr>
          <w:trHeight w:val="241"/>
        </w:trPr>
        <w:tc>
          <w:tcPr>
            <w:tcW w:w="8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A65ED" w14:textId="0EBDA6B0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Does your school have </w:t>
            </w: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stakeholder informed </w:t>
            </w: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definition </w:t>
            </w: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or</w:t>
            </w: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 criteria </w:t>
            </w:r>
            <w:r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 xml:space="preserve">that guides decision making about what is area managed conduct?  </w:t>
            </w:r>
          </w:p>
        </w:tc>
        <w:tc>
          <w:tcPr>
            <w:tcW w:w="1540" w:type="dxa"/>
          </w:tcPr>
          <w:p w14:paraId="6F6481C5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40" w:type="dxa"/>
          </w:tcPr>
          <w:p w14:paraId="7DD3571D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40" w:type="dxa"/>
          </w:tcPr>
          <w:p w14:paraId="2F843896" w14:textId="16CDC753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BE5512" w:rsidRPr="001613EF" w14:paraId="17338CC8" w14:textId="77777777" w:rsidTr="00770788">
        <w:trPr>
          <w:trHeight w:val="241"/>
        </w:trPr>
        <w:tc>
          <w:tcPr>
            <w:tcW w:w="8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27FD44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Does your school have a form and procedures for documenting teacher/staff-managed infractions?</w:t>
            </w:r>
          </w:p>
        </w:tc>
        <w:tc>
          <w:tcPr>
            <w:tcW w:w="1540" w:type="dxa"/>
          </w:tcPr>
          <w:p w14:paraId="0132BB96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40" w:type="dxa"/>
          </w:tcPr>
          <w:p w14:paraId="12530AB0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40" w:type="dxa"/>
          </w:tcPr>
          <w:p w14:paraId="1E2BF3C5" w14:textId="6D0202CF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BE5512" w:rsidRPr="001613EF" w14:paraId="3F934968" w14:textId="77777777" w:rsidTr="00C14D1A">
        <w:trPr>
          <w:trHeight w:val="520"/>
        </w:trPr>
        <w:tc>
          <w:tcPr>
            <w:tcW w:w="8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C385ED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</w:pPr>
            <w:r w:rsidRPr="001613EF">
              <w:rPr>
                <w:rFonts w:asciiTheme="majorHAnsi" w:hAnsiTheme="majorHAnsi" w:cstheme="majorHAnsi"/>
                <w:i/>
                <w:iCs/>
                <w:color w:val="000000"/>
                <w:kern w:val="24"/>
              </w:rPr>
              <w:t>Does your school provide teachers/staff with written procedures, recommendations, or strategies (e.g., Teacher Try First strategies, P3 &amp; E) for how they should respond to conduct, conflict, and behavior at the area-level?</w:t>
            </w:r>
          </w:p>
        </w:tc>
        <w:tc>
          <w:tcPr>
            <w:tcW w:w="1540" w:type="dxa"/>
          </w:tcPr>
          <w:p w14:paraId="50077678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40" w:type="dxa"/>
          </w:tcPr>
          <w:p w14:paraId="4958C172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  <w:tc>
          <w:tcPr>
            <w:tcW w:w="1540" w:type="dxa"/>
          </w:tcPr>
          <w:p w14:paraId="43F59649" w14:textId="120E7767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/>
                <w:kern w:val="24"/>
              </w:rPr>
            </w:pPr>
          </w:p>
        </w:tc>
      </w:tr>
      <w:tr w:rsidR="00BE5512" w:rsidRPr="001613EF" w14:paraId="7FFB2CF8" w14:textId="77777777" w:rsidTr="00191163">
        <w:trPr>
          <w:trHeight w:val="367"/>
        </w:trPr>
        <w:tc>
          <w:tcPr>
            <w:tcW w:w="8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621394" w14:textId="0334498B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kern w:val="24"/>
              </w:rPr>
              <w:t xml:space="preserve">Do staff have options </w:t>
            </w:r>
            <w:r w:rsidRPr="001613EF">
              <w:rPr>
                <w:rFonts w:asciiTheme="majorHAnsi" w:hAnsiTheme="majorHAnsi" w:cstheme="majorHAnsi"/>
                <w:i/>
                <w:iCs/>
                <w:color w:val="000000" w:themeColor="text1"/>
                <w:kern w:val="24"/>
              </w:rPr>
              <w:t xml:space="preserve">(either referral to the office, referral to I&amp;RS, problem solving support, etc.) 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  <w:kern w:val="24"/>
              </w:rPr>
              <w:t>for requesting assistance when a student is not responding to area level intervention so that teachers do not need to rely on office managed responses?</w:t>
            </w:r>
          </w:p>
        </w:tc>
        <w:tc>
          <w:tcPr>
            <w:tcW w:w="1540" w:type="dxa"/>
          </w:tcPr>
          <w:p w14:paraId="5B03476A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 w:themeColor="text1"/>
                <w:kern w:val="24"/>
              </w:rPr>
            </w:pPr>
          </w:p>
        </w:tc>
        <w:tc>
          <w:tcPr>
            <w:tcW w:w="1540" w:type="dxa"/>
          </w:tcPr>
          <w:p w14:paraId="27D784CD" w14:textId="77777777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 w:themeColor="text1"/>
                <w:kern w:val="24"/>
              </w:rPr>
            </w:pPr>
          </w:p>
        </w:tc>
        <w:tc>
          <w:tcPr>
            <w:tcW w:w="1540" w:type="dxa"/>
          </w:tcPr>
          <w:p w14:paraId="4695E83C" w14:textId="37EB5AB3" w:rsidR="00BE5512" w:rsidRPr="001613EF" w:rsidRDefault="00BE5512" w:rsidP="00BE551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Cs/>
                <w:color w:val="000000" w:themeColor="text1"/>
                <w:kern w:val="24"/>
              </w:rPr>
            </w:pPr>
          </w:p>
        </w:tc>
      </w:tr>
    </w:tbl>
    <w:p w14:paraId="61F92ADD" w14:textId="77777777" w:rsidR="00F10D5B" w:rsidRPr="001613EF" w:rsidRDefault="00F10D5B">
      <w:pPr>
        <w:rPr>
          <w:rFonts w:asciiTheme="majorHAnsi" w:hAnsiTheme="majorHAnsi" w:cstheme="majorHAnsi"/>
          <w:sz w:val="24"/>
          <w:szCs w:val="24"/>
        </w:rPr>
      </w:pPr>
    </w:p>
    <w:p w14:paraId="7177DF2F" w14:textId="77777777" w:rsidR="00F10D5B" w:rsidRPr="001613EF" w:rsidRDefault="00F10D5B">
      <w:pPr>
        <w:rPr>
          <w:rFonts w:asciiTheme="majorHAnsi" w:hAnsiTheme="majorHAnsi" w:cstheme="majorHAnsi"/>
          <w:sz w:val="24"/>
          <w:szCs w:val="24"/>
        </w:rPr>
      </w:pPr>
    </w:p>
    <w:p w14:paraId="322DE66A" w14:textId="77777777" w:rsidR="00F10D5B" w:rsidRPr="001613EF" w:rsidRDefault="00F10D5B" w:rsidP="00B8364A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F10D5B" w:rsidRPr="001613EF" w:rsidSect="001B658E">
      <w:footerReference w:type="default" r:id="rId7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092F" w14:textId="77777777" w:rsidR="00681B33" w:rsidRDefault="00681B33" w:rsidP="001B658E">
      <w:pPr>
        <w:spacing w:after="0" w:line="240" w:lineRule="auto"/>
      </w:pPr>
      <w:r>
        <w:separator/>
      </w:r>
    </w:p>
  </w:endnote>
  <w:endnote w:type="continuationSeparator" w:id="0">
    <w:p w14:paraId="47333394" w14:textId="77777777" w:rsidR="00681B33" w:rsidRDefault="00681B33" w:rsidP="001B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92A1" w14:textId="0B8FE44E" w:rsidR="001B658E" w:rsidRPr="001B658E" w:rsidRDefault="001B658E" w:rsidP="00B16E52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NJ PBSIS (202</w:t>
    </w:r>
    <w:r w:rsidR="00BE5512">
      <w:rPr>
        <w:sz w:val="16"/>
        <w:szCs w:val="16"/>
      </w:rPr>
      <w:t>2</w:t>
    </w:r>
    <w:r w:rsidR="00B16E52">
      <w:rPr>
        <w:sz w:val="16"/>
        <w:szCs w:val="16"/>
      </w:rPr>
      <w:t>-202</w:t>
    </w:r>
    <w:r w:rsidR="00BE5512">
      <w:rPr>
        <w:sz w:val="16"/>
        <w:szCs w:val="16"/>
      </w:rPr>
      <w:t>3</w:t>
    </w:r>
    <w:r w:rsidRPr="009311AC">
      <w:rPr>
        <w:sz w:val="16"/>
        <w:szCs w:val="16"/>
      </w:rPr>
      <w:t xml:space="preserve">).  NJ PBSIS is sponsored by New Jersey </w:t>
    </w:r>
    <w:r>
      <w:rPr>
        <w:sz w:val="16"/>
        <w:szCs w:val="16"/>
      </w:rPr>
      <w:t>Department of Education, Office</w:t>
    </w:r>
    <w:r w:rsidRPr="009311AC">
      <w:rPr>
        <w:sz w:val="16"/>
        <w:szCs w:val="16"/>
      </w:rPr>
      <w:t xml:space="preserve"> of Special Education in collaboration with the Boggs Center, Rutgers Robert Wood Johnson Medical School. NJ PBSIS is funded by I.D.E.A., Part B. </w:t>
    </w:r>
    <w:hyperlink r:id="rId1" w:history="1">
      <w:r w:rsidR="00B16E52" w:rsidRPr="00543975">
        <w:rPr>
          <w:rStyle w:val="Hyperlink"/>
          <w:sz w:val="16"/>
          <w:szCs w:val="16"/>
        </w:rPr>
        <w:t>www.njpbs.org</w:t>
      </w:r>
    </w:hyperlink>
    <w:r w:rsidR="00B16E52">
      <w:rPr>
        <w:sz w:val="16"/>
        <w:szCs w:val="16"/>
      </w:rPr>
      <w:t xml:space="preserve"> </w:t>
    </w:r>
  </w:p>
  <w:p w14:paraId="1CA71903" w14:textId="77777777" w:rsidR="001B658E" w:rsidRDefault="001B6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A350" w14:textId="77777777" w:rsidR="00681B33" w:rsidRDefault="00681B33" w:rsidP="001B658E">
      <w:pPr>
        <w:spacing w:after="0" w:line="240" w:lineRule="auto"/>
      </w:pPr>
      <w:r>
        <w:separator/>
      </w:r>
    </w:p>
  </w:footnote>
  <w:footnote w:type="continuationSeparator" w:id="0">
    <w:p w14:paraId="5F926FFA" w14:textId="77777777" w:rsidR="00681B33" w:rsidRDefault="00681B33" w:rsidP="001B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D3E"/>
    <w:multiLevelType w:val="hybridMultilevel"/>
    <w:tmpl w:val="3B42B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2C84"/>
    <w:multiLevelType w:val="hybridMultilevel"/>
    <w:tmpl w:val="E5F2F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318E2"/>
    <w:multiLevelType w:val="hybridMultilevel"/>
    <w:tmpl w:val="8852252E"/>
    <w:lvl w:ilvl="0" w:tplc="B54EE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08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47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C1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D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45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C8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8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8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096BB3"/>
    <w:multiLevelType w:val="hybridMultilevel"/>
    <w:tmpl w:val="EAB85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8667C"/>
    <w:multiLevelType w:val="hybridMultilevel"/>
    <w:tmpl w:val="C5D4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192"/>
    <w:multiLevelType w:val="hybridMultilevel"/>
    <w:tmpl w:val="E20C805A"/>
    <w:lvl w:ilvl="0" w:tplc="5FF80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09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D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C1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1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C5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A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E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EC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A9348A"/>
    <w:multiLevelType w:val="hybridMultilevel"/>
    <w:tmpl w:val="CBB4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845816"/>
    <w:multiLevelType w:val="hybridMultilevel"/>
    <w:tmpl w:val="2C6C7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636DD"/>
    <w:multiLevelType w:val="hybridMultilevel"/>
    <w:tmpl w:val="87900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C3040"/>
    <w:multiLevelType w:val="hybridMultilevel"/>
    <w:tmpl w:val="63FE7A6A"/>
    <w:lvl w:ilvl="0" w:tplc="C5F00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29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8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E4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6F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49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7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D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A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CE0C71"/>
    <w:multiLevelType w:val="hybridMultilevel"/>
    <w:tmpl w:val="DFC66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71851"/>
    <w:multiLevelType w:val="hybridMultilevel"/>
    <w:tmpl w:val="3A263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8E"/>
    <w:rsid w:val="00007351"/>
    <w:rsid w:val="00010DF5"/>
    <w:rsid w:val="00042DB0"/>
    <w:rsid w:val="00047B65"/>
    <w:rsid w:val="00085AD2"/>
    <w:rsid w:val="000B788A"/>
    <w:rsid w:val="00117F4C"/>
    <w:rsid w:val="001613EF"/>
    <w:rsid w:val="001B658E"/>
    <w:rsid w:val="001F31CA"/>
    <w:rsid w:val="001F4ED9"/>
    <w:rsid w:val="002C2FA4"/>
    <w:rsid w:val="003D06B9"/>
    <w:rsid w:val="00444BDD"/>
    <w:rsid w:val="004A6E21"/>
    <w:rsid w:val="004F7828"/>
    <w:rsid w:val="00523157"/>
    <w:rsid w:val="00525191"/>
    <w:rsid w:val="00681B33"/>
    <w:rsid w:val="006A4D83"/>
    <w:rsid w:val="006B25C2"/>
    <w:rsid w:val="00750733"/>
    <w:rsid w:val="00751BD4"/>
    <w:rsid w:val="00770733"/>
    <w:rsid w:val="00883426"/>
    <w:rsid w:val="009066A2"/>
    <w:rsid w:val="00944AED"/>
    <w:rsid w:val="009E18A6"/>
    <w:rsid w:val="00A309D4"/>
    <w:rsid w:val="00A949B3"/>
    <w:rsid w:val="00AF37D2"/>
    <w:rsid w:val="00B16E52"/>
    <w:rsid w:val="00B8364A"/>
    <w:rsid w:val="00BC7D70"/>
    <w:rsid w:val="00BE5512"/>
    <w:rsid w:val="00C32566"/>
    <w:rsid w:val="00C45442"/>
    <w:rsid w:val="00C7531F"/>
    <w:rsid w:val="00CA26B1"/>
    <w:rsid w:val="00CC2881"/>
    <w:rsid w:val="00D37EBF"/>
    <w:rsid w:val="00D73AB4"/>
    <w:rsid w:val="00DD2303"/>
    <w:rsid w:val="00E11FC8"/>
    <w:rsid w:val="00E82A07"/>
    <w:rsid w:val="00EE387E"/>
    <w:rsid w:val="00F10D5B"/>
    <w:rsid w:val="00F25FF3"/>
    <w:rsid w:val="00F9616C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2552"/>
  <w15:chartTrackingRefBased/>
  <w15:docId w15:val="{E4DF1416-0135-4FF6-94EB-6B412739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8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5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6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8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2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Sharon Lohrmann</cp:lastModifiedBy>
  <cp:revision>12</cp:revision>
  <dcterms:created xsi:type="dcterms:W3CDTF">2021-11-13T15:11:00Z</dcterms:created>
  <dcterms:modified xsi:type="dcterms:W3CDTF">2022-06-29T19:12:00Z</dcterms:modified>
</cp:coreProperties>
</file>